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82" w:rsidRDefault="00917C82" w:rsidP="00B52437">
      <w:pPr>
        <w:jc w:val="center"/>
        <w:rPr>
          <w:b/>
          <w:szCs w:val="26"/>
        </w:rPr>
      </w:pPr>
      <w:r>
        <w:rPr>
          <w:noProof/>
          <w:lang w:eastAsia="ru-RU"/>
        </w:rPr>
        <w:drawing>
          <wp:inline distT="0" distB="0" distL="0" distR="0" wp14:anchorId="30A68F5D" wp14:editId="4577412E">
            <wp:extent cx="476250" cy="476250"/>
            <wp:effectExtent l="0" t="0" r="0" b="0"/>
            <wp:docPr id="5124" name="Рисунок 7" descr="Логотип ЗДОРОВЬЕ ЖИВОТН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7" descr="Логотип ЗДОРОВЬЕ ЖИВОТНЫХ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4" cy="47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5877" w:rsidRDefault="00B52437" w:rsidP="00B52437">
      <w:pPr>
        <w:jc w:val="center"/>
        <w:rPr>
          <w:b/>
          <w:szCs w:val="26"/>
        </w:rPr>
      </w:pPr>
      <w:r w:rsidRPr="00512986">
        <w:rPr>
          <w:b/>
          <w:szCs w:val="26"/>
        </w:rPr>
        <w:t xml:space="preserve">Инструкция </w:t>
      </w:r>
      <w:r w:rsidR="00755877">
        <w:rPr>
          <w:b/>
          <w:szCs w:val="26"/>
        </w:rPr>
        <w:t xml:space="preserve">по применению </w:t>
      </w:r>
    </w:p>
    <w:p w:rsidR="00B44E72" w:rsidRDefault="00512986" w:rsidP="00B52437">
      <w:pPr>
        <w:jc w:val="center"/>
        <w:rPr>
          <w:b/>
          <w:szCs w:val="26"/>
        </w:rPr>
      </w:pPr>
      <w:r w:rsidRPr="00512986">
        <w:rPr>
          <w:b/>
          <w:szCs w:val="26"/>
        </w:rPr>
        <w:t xml:space="preserve">индикаторных дисков </w:t>
      </w:r>
      <w:r w:rsidR="00755877">
        <w:rPr>
          <w:b/>
          <w:szCs w:val="26"/>
        </w:rPr>
        <w:t xml:space="preserve">для </w:t>
      </w:r>
      <w:r w:rsidR="00B52437" w:rsidRPr="00512986">
        <w:rPr>
          <w:b/>
          <w:szCs w:val="26"/>
        </w:rPr>
        <w:t>определени</w:t>
      </w:r>
      <w:r w:rsidR="00755877">
        <w:rPr>
          <w:b/>
          <w:szCs w:val="26"/>
        </w:rPr>
        <w:t>я</w:t>
      </w:r>
      <w:r w:rsidR="00B52437" w:rsidRPr="00512986">
        <w:rPr>
          <w:b/>
          <w:szCs w:val="26"/>
        </w:rPr>
        <w:t xml:space="preserve"> чувствительности микроорганизмов </w:t>
      </w:r>
      <w:r w:rsidR="00755877">
        <w:rPr>
          <w:b/>
          <w:szCs w:val="26"/>
        </w:rPr>
        <w:t xml:space="preserve">                         </w:t>
      </w:r>
      <w:r w:rsidR="00B52437" w:rsidRPr="00512986">
        <w:rPr>
          <w:b/>
          <w:szCs w:val="26"/>
        </w:rPr>
        <w:t xml:space="preserve">к антибактериальным препаратам </w:t>
      </w:r>
      <w:r w:rsidR="00B52437" w:rsidRPr="00512986">
        <w:rPr>
          <w:b/>
          <w:sz w:val="22"/>
          <w:szCs w:val="26"/>
        </w:rPr>
        <w:t>для</w:t>
      </w:r>
      <w:r w:rsidR="00B52437" w:rsidRPr="00512986">
        <w:rPr>
          <w:b/>
          <w:szCs w:val="26"/>
        </w:rPr>
        <w:t xml:space="preserve"> ветеринарного применения</w:t>
      </w:r>
      <w:r w:rsidR="00B44E72">
        <w:rPr>
          <w:b/>
          <w:szCs w:val="26"/>
        </w:rPr>
        <w:t xml:space="preserve"> </w:t>
      </w:r>
    </w:p>
    <w:p w:rsidR="00B52437" w:rsidRDefault="00B44E72" w:rsidP="00B52437">
      <w:pPr>
        <w:jc w:val="center"/>
        <w:rPr>
          <w:b/>
          <w:szCs w:val="26"/>
        </w:rPr>
      </w:pPr>
      <w:proofErr w:type="gramStart"/>
      <w:r>
        <w:rPr>
          <w:b/>
          <w:szCs w:val="26"/>
        </w:rPr>
        <w:t>диско-диффузионным</w:t>
      </w:r>
      <w:proofErr w:type="gramEnd"/>
      <w:r>
        <w:rPr>
          <w:b/>
          <w:szCs w:val="26"/>
        </w:rPr>
        <w:t xml:space="preserve"> методом</w:t>
      </w:r>
      <w:r w:rsidR="00B52437" w:rsidRPr="00512986">
        <w:rPr>
          <w:b/>
          <w:szCs w:val="26"/>
        </w:rPr>
        <w:t>.</w:t>
      </w:r>
    </w:p>
    <w:p w:rsidR="00542144" w:rsidRPr="00542144" w:rsidRDefault="00542144" w:rsidP="00542144">
      <w:pPr>
        <w:jc w:val="center"/>
      </w:pPr>
    </w:p>
    <w:p w:rsidR="00E263A5" w:rsidRPr="00B44E72" w:rsidRDefault="00E263A5" w:rsidP="00A21392">
      <w:pPr>
        <w:pStyle w:val="a3"/>
        <w:numPr>
          <w:ilvl w:val="0"/>
          <w:numId w:val="4"/>
        </w:numPr>
        <w:jc w:val="center"/>
        <w:rPr>
          <w:b/>
          <w:szCs w:val="26"/>
        </w:rPr>
      </w:pPr>
      <w:r w:rsidRPr="00B44E72">
        <w:rPr>
          <w:b/>
          <w:szCs w:val="26"/>
        </w:rPr>
        <w:t>Назначение и область применения:</w:t>
      </w:r>
    </w:p>
    <w:p w:rsidR="00B44E72" w:rsidRDefault="00B44E72" w:rsidP="00755877">
      <w:pPr>
        <w:pStyle w:val="a3"/>
        <w:numPr>
          <w:ilvl w:val="1"/>
          <w:numId w:val="4"/>
        </w:numPr>
        <w:rPr>
          <w:szCs w:val="26"/>
        </w:rPr>
      </w:pPr>
      <w:r>
        <w:rPr>
          <w:szCs w:val="26"/>
        </w:rPr>
        <w:t xml:space="preserve"> </w:t>
      </w:r>
      <w:r w:rsidR="00E263A5" w:rsidRPr="00B44E72">
        <w:rPr>
          <w:szCs w:val="26"/>
        </w:rPr>
        <w:t>Индикаторные диски предназначены для определения чувствительности микроорганизмов, вызывающих</w:t>
      </w:r>
      <w:r w:rsidR="00D85AAD" w:rsidRPr="00B44E72">
        <w:rPr>
          <w:szCs w:val="26"/>
        </w:rPr>
        <w:t xml:space="preserve"> инфекционные заболевания животных</w:t>
      </w:r>
      <w:r w:rsidR="002924C7">
        <w:rPr>
          <w:szCs w:val="26"/>
        </w:rPr>
        <w:t xml:space="preserve"> бактериальной и грибковой этиологии</w:t>
      </w:r>
      <w:r w:rsidR="00D85AAD" w:rsidRPr="00B44E72">
        <w:rPr>
          <w:szCs w:val="26"/>
        </w:rPr>
        <w:t>, к</w:t>
      </w:r>
      <w:r w:rsidR="00E263A5" w:rsidRPr="00B44E72">
        <w:rPr>
          <w:szCs w:val="26"/>
        </w:rPr>
        <w:t xml:space="preserve"> противомикробным препа</w:t>
      </w:r>
      <w:r w:rsidR="00D85AAD" w:rsidRPr="00B44E72">
        <w:rPr>
          <w:szCs w:val="26"/>
        </w:rPr>
        <w:t>ратам, применяемым в ветеринарии</w:t>
      </w:r>
      <w:r w:rsidR="00E263A5" w:rsidRPr="00B44E72">
        <w:rPr>
          <w:szCs w:val="26"/>
        </w:rPr>
        <w:t>.</w:t>
      </w:r>
      <w:r w:rsidR="00755877" w:rsidRPr="00B44E72">
        <w:rPr>
          <w:szCs w:val="26"/>
        </w:rPr>
        <w:t xml:space="preserve"> </w:t>
      </w:r>
    </w:p>
    <w:p w:rsidR="005F10B0" w:rsidRDefault="00B44E72" w:rsidP="00E263A5">
      <w:pPr>
        <w:pStyle w:val="a3"/>
        <w:numPr>
          <w:ilvl w:val="1"/>
          <w:numId w:val="4"/>
        </w:numPr>
        <w:rPr>
          <w:szCs w:val="26"/>
        </w:rPr>
      </w:pPr>
      <w:r w:rsidRPr="00B44E72">
        <w:rPr>
          <w:szCs w:val="26"/>
        </w:rPr>
        <w:t xml:space="preserve"> </w:t>
      </w:r>
      <w:r w:rsidR="005F10B0" w:rsidRPr="005F10B0">
        <w:rPr>
          <w:szCs w:val="26"/>
        </w:rPr>
        <w:t>Индикаторный диск представляет собой</w:t>
      </w:r>
      <w:bookmarkStart w:id="0" w:name="_GoBack"/>
      <w:bookmarkEnd w:id="0"/>
      <w:r w:rsidR="005F10B0" w:rsidRPr="005F10B0">
        <w:rPr>
          <w:szCs w:val="26"/>
        </w:rPr>
        <w:t xml:space="preserve"> круглый картонный диск</w:t>
      </w:r>
      <w:r w:rsidR="005F10B0">
        <w:rPr>
          <w:szCs w:val="26"/>
        </w:rPr>
        <w:t xml:space="preserve"> диаметром</w:t>
      </w:r>
      <w:r w:rsidR="002924C7">
        <w:rPr>
          <w:szCs w:val="26"/>
        </w:rPr>
        <w:t xml:space="preserve"> </w:t>
      </w:r>
      <w:r w:rsidR="005F10B0" w:rsidRPr="005F10B0">
        <w:rPr>
          <w:szCs w:val="26"/>
        </w:rPr>
        <w:t>6</w:t>
      </w:r>
      <w:r w:rsidR="005F10B0" w:rsidRPr="005F10B0">
        <w:rPr>
          <w:rFonts w:cs="Times New Roman"/>
          <w:szCs w:val="26"/>
        </w:rPr>
        <w:t>±</w:t>
      </w:r>
      <w:r w:rsidR="005F10B0" w:rsidRPr="005F10B0">
        <w:rPr>
          <w:szCs w:val="26"/>
        </w:rPr>
        <w:t>0,2мм, пропитанный субстанцией антимикробного препарата.</w:t>
      </w:r>
    </w:p>
    <w:p w:rsidR="005F10B0" w:rsidRPr="00BC5C95" w:rsidRDefault="005F10B0" w:rsidP="00E263A5">
      <w:pPr>
        <w:pStyle w:val="a3"/>
        <w:numPr>
          <w:ilvl w:val="1"/>
          <w:numId w:val="4"/>
        </w:numPr>
        <w:rPr>
          <w:szCs w:val="26"/>
        </w:rPr>
      </w:pPr>
      <w:r>
        <w:rPr>
          <w:szCs w:val="26"/>
        </w:rPr>
        <w:t xml:space="preserve">  </w:t>
      </w:r>
      <w:proofErr w:type="gramStart"/>
      <w:r w:rsidR="00B44E72" w:rsidRPr="00B44E72">
        <w:rPr>
          <w:szCs w:val="26"/>
        </w:rPr>
        <w:t>Изготавливаются</w:t>
      </w:r>
      <w:r w:rsidR="00B44E72">
        <w:rPr>
          <w:szCs w:val="26"/>
        </w:rPr>
        <w:t xml:space="preserve"> из </w:t>
      </w:r>
      <w:r>
        <w:rPr>
          <w:szCs w:val="26"/>
        </w:rPr>
        <w:t>картона фильтровального технического (ГОСТ 6722-75) и субстанции антимикробного вещества</w:t>
      </w:r>
      <w:r w:rsidR="004148C6">
        <w:rPr>
          <w:szCs w:val="26"/>
        </w:rPr>
        <w:t>, предназначенной для производства конкретного наименования антимикробного препарата для ветеринарного применения</w:t>
      </w:r>
      <w:r>
        <w:rPr>
          <w:szCs w:val="26"/>
        </w:rPr>
        <w:t xml:space="preserve"> по </w:t>
      </w:r>
      <w:r w:rsidR="00755877" w:rsidRPr="00B44E72">
        <w:rPr>
          <w:szCs w:val="26"/>
        </w:rPr>
        <w:t>ТУ 9398-006-01967164-2009</w:t>
      </w:r>
      <w:r>
        <w:rPr>
          <w:szCs w:val="26"/>
        </w:rPr>
        <w:t xml:space="preserve"> в соответствии с международным стандартом </w:t>
      </w:r>
      <w:r>
        <w:rPr>
          <w:lang w:val="en-US"/>
        </w:rPr>
        <w:t>S</w:t>
      </w:r>
      <w:r w:rsidRPr="00676EC6">
        <w:rPr>
          <w:lang w:val="en-US"/>
        </w:rPr>
        <w:t>L</w:t>
      </w:r>
      <w:r>
        <w:rPr>
          <w:lang w:val="en-US"/>
        </w:rPr>
        <w:t>C</w:t>
      </w:r>
      <w:r w:rsidRPr="00676EC6">
        <w:rPr>
          <w:lang w:val="en-US"/>
        </w:rPr>
        <w:t>I</w:t>
      </w:r>
      <w:r w:rsidRPr="005F10B0">
        <w:t xml:space="preserve"> (</w:t>
      </w:r>
      <w:r w:rsidRPr="00917C82">
        <w:rPr>
          <w:i/>
          <w:lang w:val="en-US"/>
        </w:rPr>
        <w:t>Performance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Standard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for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Antimicrobial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Disk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and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Dilution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Susceptibility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Tests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for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Bacteria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Isolated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from</w:t>
      </w:r>
      <w:r w:rsidRPr="00917C82">
        <w:rPr>
          <w:i/>
        </w:rPr>
        <w:t xml:space="preserve"> </w:t>
      </w:r>
      <w:r w:rsidRPr="00917C82">
        <w:rPr>
          <w:i/>
          <w:lang w:val="en-US"/>
        </w:rPr>
        <w:t>Animals</w:t>
      </w:r>
      <w:r w:rsidRPr="00917C82">
        <w:rPr>
          <w:i/>
        </w:rPr>
        <w:t xml:space="preserve"> </w:t>
      </w:r>
      <w:r w:rsidRPr="005F10B0">
        <w:t>(</w:t>
      </w:r>
      <w:r w:rsidRPr="00EC6B2C">
        <w:rPr>
          <w:lang w:val="en-US"/>
        </w:rPr>
        <w:t>Approved</w:t>
      </w:r>
      <w:r w:rsidRPr="005F10B0">
        <w:t xml:space="preserve"> </w:t>
      </w:r>
      <w:r w:rsidRPr="00EC6B2C">
        <w:rPr>
          <w:lang w:val="en-US"/>
        </w:rPr>
        <w:t>Standard</w:t>
      </w:r>
      <w:r w:rsidRPr="005F10B0">
        <w:t xml:space="preserve"> – </w:t>
      </w:r>
      <w:r w:rsidRPr="00EC6B2C">
        <w:rPr>
          <w:lang w:val="en-US"/>
        </w:rPr>
        <w:t>Third</w:t>
      </w:r>
      <w:r w:rsidRPr="005F10B0">
        <w:t xml:space="preserve"> </w:t>
      </w:r>
      <w:r w:rsidRPr="00EC6B2C">
        <w:rPr>
          <w:lang w:val="en-US"/>
        </w:rPr>
        <w:t>Edition</w:t>
      </w:r>
      <w:r w:rsidRPr="005F10B0">
        <w:t xml:space="preserve">, 2013). </w:t>
      </w:r>
      <w:proofErr w:type="gramEnd"/>
    </w:p>
    <w:p w:rsidR="002924C7" w:rsidRPr="00BC5C95" w:rsidRDefault="00BC5C95" w:rsidP="002924C7">
      <w:pPr>
        <w:pStyle w:val="a3"/>
        <w:numPr>
          <w:ilvl w:val="1"/>
          <w:numId w:val="4"/>
        </w:numPr>
        <w:rPr>
          <w:szCs w:val="26"/>
        </w:rPr>
      </w:pPr>
      <w:r>
        <w:t xml:space="preserve"> </w:t>
      </w:r>
      <w:proofErr w:type="gramStart"/>
      <w:r>
        <w:t>Индикаторные диски выпускаются в пенициллиновых флаконах емкостью 10 мл, плотно укупоренных резиновой крышкой и закрытыми алюминиевым колпачком.</w:t>
      </w:r>
      <w:proofErr w:type="gramEnd"/>
      <w:r>
        <w:t xml:space="preserve"> </w:t>
      </w:r>
      <w:r w:rsidR="002924C7" w:rsidRPr="00D85AAD">
        <w:t>Во флакон с индикаторными дисками вкладывается прослойка ваты, соответствующая ГОСТ 5556-81 «Вата медицинская гигроскопическая. Технические условия», и индикаторный силикагель, соответствующий ГОСТ 8984-75 «Силикагель-индикатор. Технические условия».</w:t>
      </w:r>
    </w:p>
    <w:p w:rsidR="00BC5C95" w:rsidRDefault="002924C7" w:rsidP="00BC5C95">
      <w:pPr>
        <w:pStyle w:val="a3"/>
        <w:numPr>
          <w:ilvl w:val="1"/>
          <w:numId w:val="4"/>
        </w:numPr>
      </w:pPr>
      <w:r>
        <w:t xml:space="preserve"> </w:t>
      </w:r>
      <w:r w:rsidR="00BC5C95">
        <w:t xml:space="preserve"> </w:t>
      </w:r>
      <w:r w:rsidR="00BC5C95" w:rsidRPr="00D85AAD">
        <w:t>В одном флаконе содержится 100±5 шт. индикаторных дисков с определенным антимикробным препаратом.</w:t>
      </w:r>
      <w:r w:rsidR="00BC5C95">
        <w:t xml:space="preserve"> </w:t>
      </w:r>
    </w:p>
    <w:p w:rsidR="004148C6" w:rsidRPr="00B00D0A" w:rsidRDefault="00BC5C95" w:rsidP="00E263A5">
      <w:pPr>
        <w:pStyle w:val="a3"/>
        <w:numPr>
          <w:ilvl w:val="1"/>
          <w:numId w:val="4"/>
        </w:numPr>
        <w:rPr>
          <w:szCs w:val="26"/>
        </w:rPr>
      </w:pPr>
      <w:r>
        <w:t xml:space="preserve"> </w:t>
      </w:r>
      <w:r w:rsidR="004148C6">
        <w:t xml:space="preserve">Каждому наименованию индикаторного диска присваивается коммерческое название антимикробного препарата с обязательным указанием концентрации антимикробного вещества в одном индикаторном диске. </w:t>
      </w:r>
    </w:p>
    <w:p w:rsidR="00B44E72" w:rsidRDefault="005F10B0" w:rsidP="00E263A5">
      <w:pPr>
        <w:pStyle w:val="a3"/>
        <w:numPr>
          <w:ilvl w:val="1"/>
          <w:numId w:val="4"/>
        </w:numPr>
        <w:rPr>
          <w:szCs w:val="26"/>
        </w:rPr>
      </w:pPr>
      <w:r w:rsidRPr="005F10B0">
        <w:t xml:space="preserve"> </w:t>
      </w:r>
      <w:r w:rsidRPr="00C830C0">
        <w:t>Удельная активность антимикробного соединения в диске соответствует требованиям МУК 4.2.1980-04 МЗСР РФ, 2004 г.</w:t>
      </w:r>
      <w:r w:rsidR="00B44E72" w:rsidRPr="00B44E72">
        <w:rPr>
          <w:szCs w:val="26"/>
        </w:rPr>
        <w:t xml:space="preserve"> </w:t>
      </w:r>
    </w:p>
    <w:p w:rsidR="005F10B0" w:rsidRDefault="004148C6" w:rsidP="002657DA">
      <w:pPr>
        <w:pStyle w:val="a3"/>
        <w:numPr>
          <w:ilvl w:val="1"/>
          <w:numId w:val="4"/>
        </w:numPr>
        <w:rPr>
          <w:szCs w:val="26"/>
        </w:rPr>
      </w:pPr>
      <w:r w:rsidRPr="004148C6">
        <w:rPr>
          <w:szCs w:val="26"/>
        </w:rPr>
        <w:t xml:space="preserve"> </w:t>
      </w:r>
      <w:r w:rsidR="00B44E72" w:rsidRPr="004148C6">
        <w:rPr>
          <w:szCs w:val="26"/>
        </w:rPr>
        <w:t xml:space="preserve"> </w:t>
      </w:r>
      <w:r w:rsidR="00E263A5" w:rsidRPr="004148C6">
        <w:rPr>
          <w:szCs w:val="26"/>
        </w:rPr>
        <w:t>Один диск рассчитан на проведение одного исследования</w:t>
      </w:r>
      <w:r w:rsidR="005F10B0" w:rsidRPr="004148C6">
        <w:rPr>
          <w:szCs w:val="26"/>
        </w:rPr>
        <w:t xml:space="preserve">. </w:t>
      </w:r>
    </w:p>
    <w:p w:rsidR="00501F8D" w:rsidRPr="00501F8D" w:rsidRDefault="00501F8D" w:rsidP="00501F8D">
      <w:pPr>
        <w:pStyle w:val="a3"/>
        <w:numPr>
          <w:ilvl w:val="1"/>
          <w:numId w:val="4"/>
        </w:numPr>
      </w:pPr>
      <w:r w:rsidRPr="00501F8D">
        <w:rPr>
          <w:szCs w:val="26"/>
        </w:rPr>
        <w:t xml:space="preserve">  </w:t>
      </w:r>
      <w:r w:rsidR="005E5D72" w:rsidRPr="00501F8D">
        <w:rPr>
          <w:szCs w:val="26"/>
        </w:rPr>
        <w:t xml:space="preserve"> Индикаторные диски формируются в наборы для определения чувствительности микроорганизмов, выделенных от разных видов животных (крупный рогатый скот, свиньи) и птиц.</w:t>
      </w:r>
      <w:r w:rsidR="00BC5C95" w:rsidRPr="00501F8D">
        <w:rPr>
          <w:szCs w:val="26"/>
        </w:rPr>
        <w:t xml:space="preserve"> В комплектацию набора входит перечень индикаторных дисков, аналитические паспорта на каждое наименование, таблица для интерпретации зон </w:t>
      </w:r>
      <w:r w:rsidR="00BC5C95" w:rsidRPr="00501F8D">
        <w:t xml:space="preserve">задержки роста и инструкция по применению. </w:t>
      </w:r>
    </w:p>
    <w:p w:rsidR="00501F8D" w:rsidRDefault="00501F8D" w:rsidP="00501F8D">
      <w:pPr>
        <w:pStyle w:val="a3"/>
        <w:numPr>
          <w:ilvl w:val="1"/>
          <w:numId w:val="4"/>
        </w:numPr>
      </w:pPr>
      <w:r w:rsidRPr="00501F8D">
        <w:t>Индикаторные диски сл</w:t>
      </w:r>
      <w:r>
        <w:t>едует хранить при температуре +</w:t>
      </w:r>
      <w:r w:rsidRPr="00501F8D">
        <w:t>2</w:t>
      </w:r>
      <w:r>
        <w:t>+8</w:t>
      </w:r>
      <w:proofErr w:type="gramStart"/>
      <w:r w:rsidRPr="00501F8D">
        <w:t>°С</w:t>
      </w:r>
      <w:proofErr w:type="gramEnd"/>
      <w:r w:rsidRPr="00501F8D">
        <w:t xml:space="preserve"> в упаковке предприятия-изготовителя в сухом темном месте в течение всего срока годности. Допускается хранение набора при температуре до 25</w:t>
      </w:r>
      <w:proofErr w:type="gramStart"/>
      <w:r w:rsidRPr="00501F8D">
        <w:t xml:space="preserve"> °С</w:t>
      </w:r>
      <w:proofErr w:type="gramEnd"/>
      <w:r w:rsidRPr="00501F8D">
        <w:t xml:space="preserve"> не более 15 дней.</w:t>
      </w:r>
      <w:r>
        <w:t xml:space="preserve"> </w:t>
      </w:r>
      <w:r w:rsidRPr="00501F8D">
        <w:t xml:space="preserve">Вскрытый флакон с дисками можно хранить при температуре </w:t>
      </w:r>
      <w:r>
        <w:t>+</w:t>
      </w:r>
      <w:r w:rsidRPr="00501F8D">
        <w:t>2</w:t>
      </w:r>
      <w:r>
        <w:t>+8</w:t>
      </w:r>
      <w:proofErr w:type="gramStart"/>
      <w:r w:rsidRPr="00501F8D">
        <w:t>°С</w:t>
      </w:r>
      <w:proofErr w:type="gramEnd"/>
      <w:r w:rsidRPr="00501F8D">
        <w:t xml:space="preserve"> в течение всего срока годности набора, при условии сохранения цвета индикаторного силикагеля от светло-голубого до синего.</w:t>
      </w:r>
    </w:p>
    <w:p w:rsidR="00501F8D" w:rsidRPr="00501F8D" w:rsidRDefault="00501F8D" w:rsidP="00501F8D">
      <w:pPr>
        <w:pStyle w:val="a3"/>
        <w:numPr>
          <w:ilvl w:val="1"/>
          <w:numId w:val="4"/>
        </w:numPr>
      </w:pPr>
      <w:r>
        <w:t>Срок годности составляет 12 месяцев с даты изготовления, указанной на упаковке при соблюдении условий хранения.</w:t>
      </w:r>
    </w:p>
    <w:p w:rsidR="009C1447" w:rsidRDefault="009C1447" w:rsidP="00E263A5">
      <w:pPr>
        <w:rPr>
          <w:b/>
          <w:szCs w:val="26"/>
        </w:rPr>
      </w:pPr>
    </w:p>
    <w:p w:rsidR="00A21392" w:rsidRPr="00A21392" w:rsidRDefault="00A21392" w:rsidP="00A21392">
      <w:pPr>
        <w:pStyle w:val="a3"/>
        <w:numPr>
          <w:ilvl w:val="0"/>
          <w:numId w:val="4"/>
        </w:numPr>
        <w:jc w:val="center"/>
        <w:rPr>
          <w:b/>
          <w:szCs w:val="26"/>
        </w:rPr>
      </w:pPr>
      <w:r w:rsidRPr="00A21392">
        <w:rPr>
          <w:b/>
          <w:szCs w:val="26"/>
        </w:rPr>
        <w:t>Меры предосторожности</w:t>
      </w:r>
    </w:p>
    <w:p w:rsidR="00A21392" w:rsidRPr="00A21392" w:rsidRDefault="00A21392" w:rsidP="00A21392">
      <w:pPr>
        <w:pStyle w:val="a3"/>
        <w:numPr>
          <w:ilvl w:val="1"/>
          <w:numId w:val="4"/>
        </w:numPr>
        <w:rPr>
          <w:szCs w:val="26"/>
        </w:rPr>
      </w:pPr>
      <w:r>
        <w:rPr>
          <w:szCs w:val="26"/>
        </w:rPr>
        <w:t xml:space="preserve"> </w:t>
      </w:r>
      <w:r w:rsidRPr="00A21392">
        <w:rPr>
          <w:szCs w:val="26"/>
        </w:rPr>
        <w:t>Потенциальный риск применения набора - класс 2а.</w:t>
      </w:r>
    </w:p>
    <w:p w:rsidR="00A21392" w:rsidRPr="00A21392" w:rsidRDefault="00A21392" w:rsidP="00A21392">
      <w:pPr>
        <w:pStyle w:val="a3"/>
        <w:numPr>
          <w:ilvl w:val="1"/>
          <w:numId w:val="4"/>
        </w:numPr>
        <w:rPr>
          <w:szCs w:val="26"/>
        </w:rPr>
      </w:pPr>
      <w:r>
        <w:rPr>
          <w:szCs w:val="26"/>
        </w:rPr>
        <w:t xml:space="preserve"> </w:t>
      </w:r>
      <w:r w:rsidRPr="00A21392">
        <w:rPr>
          <w:szCs w:val="26"/>
        </w:rPr>
        <w:t xml:space="preserve">Набор дисков предназначен только для </w:t>
      </w:r>
      <w:r w:rsidR="009C1447" w:rsidRPr="00A21392">
        <w:rPr>
          <w:szCs w:val="26"/>
        </w:rPr>
        <w:t xml:space="preserve">диагностики </w:t>
      </w:r>
      <w:proofErr w:type="spellStart"/>
      <w:r w:rsidRPr="00A21392">
        <w:rPr>
          <w:szCs w:val="26"/>
        </w:rPr>
        <w:t>in</w:t>
      </w:r>
      <w:proofErr w:type="spellEnd"/>
      <w:r w:rsidRPr="00A21392">
        <w:rPr>
          <w:szCs w:val="26"/>
        </w:rPr>
        <w:t xml:space="preserve"> </w:t>
      </w:r>
      <w:proofErr w:type="spellStart"/>
      <w:r w:rsidRPr="00A21392">
        <w:rPr>
          <w:szCs w:val="26"/>
        </w:rPr>
        <w:t>vitro</w:t>
      </w:r>
      <w:proofErr w:type="spellEnd"/>
      <w:r w:rsidRPr="00A21392">
        <w:rPr>
          <w:szCs w:val="26"/>
        </w:rPr>
        <w:t>.</w:t>
      </w:r>
    </w:p>
    <w:p w:rsidR="009C1447" w:rsidRPr="009C1447" w:rsidRDefault="00A21392" w:rsidP="009C1447">
      <w:pPr>
        <w:pStyle w:val="a3"/>
        <w:numPr>
          <w:ilvl w:val="1"/>
          <w:numId w:val="4"/>
        </w:numPr>
        <w:rPr>
          <w:szCs w:val="26"/>
        </w:rPr>
      </w:pPr>
      <w:r>
        <w:rPr>
          <w:szCs w:val="26"/>
        </w:rPr>
        <w:t xml:space="preserve"> </w:t>
      </w:r>
      <w:r w:rsidRPr="00A21392">
        <w:rPr>
          <w:szCs w:val="26"/>
        </w:rPr>
        <w:t xml:space="preserve">Компоненты набора в используемых концентрациях </w:t>
      </w:r>
      <w:r w:rsidR="009C1447" w:rsidRPr="009C1447">
        <w:rPr>
          <w:szCs w:val="26"/>
        </w:rPr>
        <w:t>относ</w:t>
      </w:r>
      <w:r w:rsidR="009C1447">
        <w:rPr>
          <w:szCs w:val="26"/>
        </w:rPr>
        <w:t>я</w:t>
      </w:r>
      <w:r w:rsidR="009C1447" w:rsidRPr="009C1447">
        <w:rPr>
          <w:szCs w:val="26"/>
        </w:rPr>
        <w:t xml:space="preserve">тся к малоопасным веществам (4 класс опасности  по ГОСТ 12.1.007), </w:t>
      </w:r>
      <w:r w:rsidR="009C1447">
        <w:rPr>
          <w:szCs w:val="26"/>
        </w:rPr>
        <w:t>не обладаю</w:t>
      </w:r>
      <w:r w:rsidR="009C1447" w:rsidRPr="009C1447">
        <w:rPr>
          <w:szCs w:val="26"/>
        </w:rPr>
        <w:t xml:space="preserve">т </w:t>
      </w:r>
      <w:proofErr w:type="spellStart"/>
      <w:r w:rsidR="009C1447" w:rsidRPr="009C1447">
        <w:rPr>
          <w:szCs w:val="26"/>
        </w:rPr>
        <w:t>эмбриотоксическим</w:t>
      </w:r>
      <w:proofErr w:type="spellEnd"/>
      <w:r w:rsidR="009C1447" w:rsidRPr="009C1447">
        <w:rPr>
          <w:szCs w:val="26"/>
        </w:rPr>
        <w:t>, тератогенным и канцерогенным действием.</w:t>
      </w:r>
    </w:p>
    <w:p w:rsidR="00A21392" w:rsidRPr="009C1447" w:rsidRDefault="009C1447" w:rsidP="00A21392">
      <w:pPr>
        <w:pStyle w:val="a3"/>
        <w:numPr>
          <w:ilvl w:val="1"/>
          <w:numId w:val="4"/>
        </w:numPr>
        <w:rPr>
          <w:szCs w:val="26"/>
        </w:rPr>
      </w:pPr>
      <w:r w:rsidRPr="009C1447">
        <w:rPr>
          <w:szCs w:val="26"/>
        </w:rPr>
        <w:t xml:space="preserve"> </w:t>
      </w:r>
      <w:r w:rsidR="00A21392" w:rsidRPr="009C1447">
        <w:rPr>
          <w:szCs w:val="26"/>
        </w:rPr>
        <w:t xml:space="preserve"> При работе с набором следует соблюдать «Правила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1981 г.).</w:t>
      </w:r>
    </w:p>
    <w:p w:rsidR="00512986" w:rsidRPr="00A21392" w:rsidRDefault="00D85AAD" w:rsidP="00A21392">
      <w:pPr>
        <w:pStyle w:val="a3"/>
        <w:numPr>
          <w:ilvl w:val="0"/>
          <w:numId w:val="4"/>
        </w:numPr>
        <w:jc w:val="center"/>
        <w:rPr>
          <w:szCs w:val="26"/>
        </w:rPr>
      </w:pPr>
      <w:r w:rsidRPr="00A21392">
        <w:rPr>
          <w:szCs w:val="26"/>
        </w:rPr>
        <w:t>С</w:t>
      </w:r>
      <w:r w:rsidR="002657DA" w:rsidRPr="00A21392">
        <w:rPr>
          <w:b/>
          <w:szCs w:val="26"/>
        </w:rPr>
        <w:t>пособ применения:</w:t>
      </w:r>
    </w:p>
    <w:p w:rsidR="006530BC" w:rsidRDefault="0004446E" w:rsidP="00917C82">
      <w:pPr>
        <w:ind w:left="709"/>
      </w:pPr>
      <w:r>
        <w:t>Исследование д</w:t>
      </w:r>
      <w:r w:rsidR="006530BC">
        <w:t>ля определения чувствительности микроорганизма к антибиотикам необходимо провести исследование, включа</w:t>
      </w:r>
      <w:r>
        <w:t xml:space="preserve">ет </w:t>
      </w:r>
      <w:r w:rsidR="006530BC">
        <w:t>четыре этапа:</w:t>
      </w:r>
      <w:r w:rsidR="00C05E23">
        <w:t xml:space="preserve"> п</w:t>
      </w:r>
      <w:r w:rsidR="006530BC">
        <w:t>риготовление питательной среды;</w:t>
      </w:r>
      <w:r w:rsidR="00C05E23">
        <w:t xml:space="preserve">  п</w:t>
      </w:r>
      <w:r w:rsidR="006530BC">
        <w:t xml:space="preserve">риготовление суспензии микроорганизма и </w:t>
      </w:r>
      <w:proofErr w:type="spellStart"/>
      <w:r w:rsidR="006530BC">
        <w:t>инокулящия</w:t>
      </w:r>
      <w:proofErr w:type="spellEnd"/>
      <w:r w:rsidR="006530BC">
        <w:t>;</w:t>
      </w:r>
      <w:r w:rsidR="00C05E23">
        <w:t xml:space="preserve"> а</w:t>
      </w:r>
      <w:r w:rsidR="00824D0E">
        <w:t>ппликация</w:t>
      </w:r>
      <w:r w:rsidR="006530BC">
        <w:t xml:space="preserve"> дисков на питательную среду</w:t>
      </w:r>
      <w:r w:rsidR="00824D0E">
        <w:t xml:space="preserve"> и инкубация</w:t>
      </w:r>
      <w:r w:rsidR="006530BC">
        <w:t>;</w:t>
      </w:r>
      <w:r w:rsidR="00C05E23">
        <w:t xml:space="preserve"> у</w:t>
      </w:r>
      <w:r w:rsidR="00421692">
        <w:t>чет</w:t>
      </w:r>
      <w:r w:rsidR="006530BC">
        <w:t xml:space="preserve"> результатов и их интерпретация.</w:t>
      </w:r>
    </w:p>
    <w:p w:rsidR="006530BC" w:rsidRPr="00542144" w:rsidRDefault="00C05E23" w:rsidP="005E5D72">
      <w:pPr>
        <w:pStyle w:val="a3"/>
        <w:numPr>
          <w:ilvl w:val="1"/>
          <w:numId w:val="4"/>
        </w:numPr>
        <w:ind w:left="1134" w:hanging="567"/>
        <w:rPr>
          <w:b/>
        </w:rPr>
      </w:pPr>
      <w:r w:rsidRPr="00542144">
        <w:rPr>
          <w:b/>
        </w:rPr>
        <w:t xml:space="preserve"> </w:t>
      </w:r>
      <w:r w:rsidR="006530BC" w:rsidRPr="00542144">
        <w:rPr>
          <w:b/>
        </w:rPr>
        <w:t>Приготовление питательной среды</w:t>
      </w:r>
    </w:p>
    <w:p w:rsidR="00A14BAA" w:rsidRDefault="00A14BAA" w:rsidP="00917C82">
      <w:pPr>
        <w:ind w:left="709"/>
      </w:pPr>
      <w:r w:rsidRPr="00A14BAA">
        <w:t>Для оценки чувствительности бактерий с обычными питательными потребн</w:t>
      </w:r>
      <w:r>
        <w:t xml:space="preserve">остями используют </w:t>
      </w:r>
      <w:proofErr w:type="spellStart"/>
      <w:r>
        <w:t>агар</w:t>
      </w:r>
      <w:proofErr w:type="spellEnd"/>
      <w:r w:rsidRPr="00A14BAA">
        <w:t xml:space="preserve"> Мюллера-</w:t>
      </w:r>
      <w:proofErr w:type="spellStart"/>
      <w:r w:rsidRPr="00A14BAA">
        <w:t>Хинтон</w:t>
      </w:r>
      <w:r>
        <w:t>а</w:t>
      </w:r>
      <w:proofErr w:type="spellEnd"/>
      <w:r w:rsidRPr="00A14BAA">
        <w:t xml:space="preserve"> (</w:t>
      </w:r>
      <w:proofErr w:type="gramStart"/>
      <w:r w:rsidRPr="00A14BAA">
        <w:t>M</w:t>
      </w:r>
      <w:proofErr w:type="gramEnd"/>
      <w:r w:rsidRPr="00A14BAA">
        <w:t>ХА) без дополнительных добавок. Для бактерий со сложными питательными потребностями</w:t>
      </w:r>
      <w:r>
        <w:t xml:space="preserve"> используют </w:t>
      </w:r>
      <w:proofErr w:type="spellStart"/>
      <w:r>
        <w:t>агар</w:t>
      </w:r>
      <w:proofErr w:type="spellEnd"/>
      <w:r>
        <w:t xml:space="preserve"> Мюллера</w:t>
      </w:r>
      <w:r w:rsidRPr="00A14BAA">
        <w:t>-</w:t>
      </w:r>
      <w:proofErr w:type="spellStart"/>
      <w:r w:rsidRPr="00A14BAA">
        <w:t>Хинтон</w:t>
      </w:r>
      <w:r>
        <w:t>а</w:t>
      </w:r>
      <w:proofErr w:type="spellEnd"/>
      <w:r w:rsidRPr="00A14BAA">
        <w:t xml:space="preserve"> с добавлением 5% механически </w:t>
      </w:r>
      <w:proofErr w:type="spellStart"/>
      <w:r w:rsidRPr="00A14BAA">
        <w:t>дефибринированной</w:t>
      </w:r>
      <w:proofErr w:type="spellEnd"/>
      <w:r w:rsidRPr="00A14BAA">
        <w:t xml:space="preserve"> лошадиной крови и 20 мг/л β-NAD (МХА-П).</w:t>
      </w:r>
      <w:r w:rsidR="00556E8E">
        <w:t xml:space="preserve"> Можно применять сухую питательную среду АГВ, однако желательно проводить контроль ее качества.</w:t>
      </w:r>
      <w:r w:rsidR="00C05E23">
        <w:t xml:space="preserve"> </w:t>
      </w:r>
    </w:p>
    <w:p w:rsidR="006530BC" w:rsidRDefault="006530BC" w:rsidP="00917C82">
      <w:pPr>
        <w:ind w:left="709"/>
      </w:pPr>
      <w:r>
        <w:t>Выбранную среду го</w:t>
      </w:r>
      <w:r w:rsidR="00556E8E">
        <w:t>товят из сухого порошка</w:t>
      </w:r>
      <w:r>
        <w:t>, согласно указаниям производителя</w:t>
      </w:r>
      <w:r w:rsidR="00C05E23">
        <w:t>, либо используют готовые питательные среды</w:t>
      </w:r>
      <w:r>
        <w:t>.</w:t>
      </w:r>
    </w:p>
    <w:p w:rsidR="00556E8E" w:rsidRDefault="006530BC" w:rsidP="00917C82">
      <w:pPr>
        <w:ind w:left="709"/>
      </w:pPr>
      <w:proofErr w:type="spellStart"/>
      <w:r w:rsidRPr="006530BC">
        <w:t>Агар</w:t>
      </w:r>
      <w:proofErr w:type="spellEnd"/>
      <w:r w:rsidRPr="006530BC">
        <w:t xml:space="preserve"> разливают по чашкам</w:t>
      </w:r>
      <w:r>
        <w:t xml:space="preserve"> Петри</w:t>
      </w:r>
      <w:r w:rsidRPr="006530BC">
        <w:t xml:space="preserve"> слоем т</w:t>
      </w:r>
      <w:r>
        <w:t>олщиной 4</w:t>
      </w:r>
      <w:r w:rsidR="00556E8E" w:rsidRPr="00917C82">
        <w:t>±</w:t>
      </w:r>
      <w:r w:rsidR="00556E8E">
        <w:t>0,5</w:t>
      </w:r>
      <w:r>
        <w:t xml:space="preserve"> мм.</w:t>
      </w:r>
      <w:r w:rsidR="00556E8E">
        <w:t xml:space="preserve"> При этом на чашку диаметром 90 мм необходимо 20 мл среды, на чашку 100 мм – 25 мл среды.</w:t>
      </w:r>
      <w:r w:rsidR="00824D0E">
        <w:t xml:space="preserve"> </w:t>
      </w:r>
    </w:p>
    <w:p w:rsidR="006530BC" w:rsidRDefault="00824D0E" w:rsidP="00917C82">
      <w:pPr>
        <w:ind w:left="709"/>
      </w:pPr>
      <w:r>
        <w:t>Перед заполнением чашек их ставят на строго горизонтальную поверхность, выверенную по уровню. Заполненные чашки</w:t>
      </w:r>
      <w:r w:rsidR="006530BC" w:rsidRPr="006530BC">
        <w:t xml:space="preserve"> оставляют при комнатной </w:t>
      </w:r>
      <w:r w:rsidR="006530BC">
        <w:t>температуре для застывания.</w:t>
      </w:r>
      <w:r w:rsidR="006530BC" w:rsidRPr="006530BC">
        <w:t xml:space="preserve"> Допускается хранение</w:t>
      </w:r>
      <w:r w:rsidR="006530BC">
        <w:t xml:space="preserve"> сред</w:t>
      </w:r>
      <w:r w:rsidR="006530BC" w:rsidRPr="006530BC">
        <w:t xml:space="preserve"> в запаянных полиэтиленовых пакетах в хол</w:t>
      </w:r>
      <w:r>
        <w:t>одильнике при 4-8</w:t>
      </w:r>
      <w:proofErr w:type="gramStart"/>
      <w:r>
        <w:t>°С</w:t>
      </w:r>
      <w:proofErr w:type="gramEnd"/>
      <w:r>
        <w:t xml:space="preserve"> в течение 7-10</w:t>
      </w:r>
      <w:r w:rsidR="006530BC" w:rsidRPr="006530BC">
        <w:t xml:space="preserve"> суток</w:t>
      </w:r>
      <w:r w:rsidR="006530BC">
        <w:t>, однако предпочтительнее немедленное использование.</w:t>
      </w:r>
      <w:r>
        <w:t xml:space="preserve"> Перед использованием </w:t>
      </w:r>
      <w:proofErr w:type="spellStart"/>
      <w:r>
        <w:t>агар</w:t>
      </w:r>
      <w:proofErr w:type="spellEnd"/>
      <w:r>
        <w:t xml:space="preserve"> необходимо немного подсушить инкубацией с приоткрытой крышкой при 35</w:t>
      </w:r>
      <w:r w:rsidR="00556E8E" w:rsidRPr="00917C82">
        <w:t>-37</w:t>
      </w:r>
      <w:proofErr w:type="gramStart"/>
      <w:r w:rsidR="00556E8E" w:rsidRPr="00917C82">
        <w:t xml:space="preserve"> ̊</w:t>
      </w:r>
      <w:r>
        <w:t>С</w:t>
      </w:r>
      <w:proofErr w:type="gramEnd"/>
      <w:r>
        <w:t xml:space="preserve"> в течение 10-20 минут.</w:t>
      </w:r>
    </w:p>
    <w:p w:rsidR="006530BC" w:rsidRPr="00542144" w:rsidRDefault="005E5D72" w:rsidP="005E5D72">
      <w:pPr>
        <w:pStyle w:val="a3"/>
        <w:numPr>
          <w:ilvl w:val="1"/>
          <w:numId w:val="4"/>
        </w:numPr>
        <w:ind w:left="1134" w:hanging="567"/>
        <w:rPr>
          <w:b/>
        </w:rPr>
      </w:pPr>
      <w:r w:rsidRPr="00542144">
        <w:rPr>
          <w:b/>
        </w:rPr>
        <w:t xml:space="preserve"> </w:t>
      </w:r>
      <w:r w:rsidR="006530BC" w:rsidRPr="00542144">
        <w:rPr>
          <w:b/>
        </w:rPr>
        <w:t>Приготовление суспензии микроорганизмов и инокуляция.</w:t>
      </w:r>
    </w:p>
    <w:p w:rsidR="006530BC" w:rsidRDefault="006530BC" w:rsidP="00917C82">
      <w:pPr>
        <w:ind w:left="709"/>
      </w:pPr>
      <w:r>
        <w:t>Из бульонной или агаровой культуры микроорганизма</w:t>
      </w:r>
      <w:r w:rsidR="00556E8E">
        <w:t>, выросшей за 18-20 часов,</w:t>
      </w:r>
      <w:r>
        <w:t xml:space="preserve"> готовят суспензию, имеющую концентрацию 1,5*10</w:t>
      </w:r>
      <w:r w:rsidRPr="00917C82">
        <w:rPr>
          <w:vertAlign w:val="superscript"/>
        </w:rPr>
        <w:t>8</w:t>
      </w:r>
      <w:r>
        <w:t xml:space="preserve"> КОЕ/мл, что измеряется визуально при помощи стандарта мутности 0,5 по </w:t>
      </w:r>
      <w:proofErr w:type="spellStart"/>
      <w:r>
        <w:t>МакФарланду</w:t>
      </w:r>
      <w:proofErr w:type="spellEnd"/>
      <w:r>
        <w:t>.</w:t>
      </w:r>
    </w:p>
    <w:p w:rsidR="00824D0E" w:rsidRDefault="00824D0E" w:rsidP="00917C82">
      <w:pPr>
        <w:ind w:left="709"/>
      </w:pPr>
      <w:r>
        <w:t>Существует два способа инокуляции микроорганизмов:</w:t>
      </w:r>
    </w:p>
    <w:p w:rsidR="00824D0E" w:rsidRDefault="00824D0E" w:rsidP="00824D0E">
      <w:pPr>
        <w:pStyle w:val="a3"/>
        <w:numPr>
          <w:ilvl w:val="0"/>
          <w:numId w:val="2"/>
        </w:numPr>
      </w:pPr>
      <w:r>
        <w:t xml:space="preserve">Использование стерильных ватных тампонов. Тампон необходимо погрузить в стандартную суспензию микроорганизма, затем избыток </w:t>
      </w:r>
      <w:proofErr w:type="spellStart"/>
      <w:r>
        <w:t>инокулюма</w:t>
      </w:r>
      <w:proofErr w:type="spellEnd"/>
      <w:r>
        <w:t xml:space="preserve"> удалить, отжав тампон о стенки пробирки. Инокуляцию проводят штриховыми движениями в трех направлениях, поворачивая чашку Петри на 60°.</w:t>
      </w:r>
      <w:r w:rsidR="00942539">
        <w:t xml:space="preserve"> Для абсорбции </w:t>
      </w:r>
      <w:proofErr w:type="spellStart"/>
      <w:r w:rsidR="00942539">
        <w:t>инокулята</w:t>
      </w:r>
      <w:proofErr w:type="spellEnd"/>
      <w:r w:rsidR="00942539">
        <w:t xml:space="preserve"> чашку оставляют при комнатной температуре от 3-5 до 10-15 минут (но не более).</w:t>
      </w:r>
    </w:p>
    <w:p w:rsidR="009C1447" w:rsidRDefault="00824D0E" w:rsidP="006530BC">
      <w:pPr>
        <w:pStyle w:val="a3"/>
        <w:numPr>
          <w:ilvl w:val="0"/>
          <w:numId w:val="2"/>
        </w:numPr>
      </w:pPr>
      <w:r>
        <w:lastRenderedPageBreak/>
        <w:t xml:space="preserve">Стандартный </w:t>
      </w:r>
      <w:proofErr w:type="spellStart"/>
      <w:r>
        <w:t>инокулюм</w:t>
      </w:r>
      <w:proofErr w:type="spellEnd"/>
      <w:r>
        <w:t xml:space="preserve"> наносят пипеткой на поверхность чашки Петри с питательной средой в объеме 1-2 мл, равномерно распределяют по поверхности покачиванием, после чего удаляют избыток </w:t>
      </w:r>
      <w:proofErr w:type="spellStart"/>
      <w:r>
        <w:t>инокулюма</w:t>
      </w:r>
      <w:proofErr w:type="spellEnd"/>
      <w:r>
        <w:t xml:space="preserve"> пипеткой. </w:t>
      </w:r>
    </w:p>
    <w:p w:rsidR="006530BC" w:rsidRDefault="00824D0E" w:rsidP="006530BC">
      <w:pPr>
        <w:pStyle w:val="a3"/>
        <w:numPr>
          <w:ilvl w:val="0"/>
          <w:numId w:val="2"/>
        </w:numPr>
      </w:pPr>
      <w:r>
        <w:t>Приоткрытые чашки подсушивают при комнатной те</w:t>
      </w:r>
      <w:r w:rsidR="00942539">
        <w:t xml:space="preserve">мпературе в течение </w:t>
      </w:r>
      <w:r>
        <w:t>15 мин</w:t>
      </w:r>
      <w:r w:rsidR="00942539">
        <w:t xml:space="preserve">ут для абсорбции </w:t>
      </w:r>
      <w:proofErr w:type="spellStart"/>
      <w:r w:rsidR="00942539">
        <w:t>инокулята</w:t>
      </w:r>
      <w:proofErr w:type="spellEnd"/>
      <w:r w:rsidR="00942539">
        <w:t>.</w:t>
      </w:r>
    </w:p>
    <w:p w:rsidR="00824D0E" w:rsidRPr="00542144" w:rsidRDefault="00824D0E" w:rsidP="00542144">
      <w:pPr>
        <w:pStyle w:val="a3"/>
        <w:numPr>
          <w:ilvl w:val="1"/>
          <w:numId w:val="4"/>
        </w:numPr>
        <w:ind w:left="1134" w:hanging="567"/>
        <w:jc w:val="left"/>
        <w:rPr>
          <w:b/>
        </w:rPr>
      </w:pPr>
      <w:r w:rsidRPr="00542144">
        <w:rPr>
          <w:b/>
        </w:rPr>
        <w:t>Аппликация дисков на питательную среду и инкубация.</w:t>
      </w:r>
    </w:p>
    <w:p w:rsidR="00421692" w:rsidRPr="006530BC" w:rsidRDefault="00421692" w:rsidP="00917C82">
      <w:pPr>
        <w:ind w:left="709"/>
      </w:pPr>
      <w:r>
        <w:t>Перед использованием диски следует достать из холодильника на 1 час, чтобы они нагрелись до комнатной температуры.</w:t>
      </w:r>
    </w:p>
    <w:p w:rsidR="00942539" w:rsidRDefault="00824D0E" w:rsidP="00917C82">
      <w:pPr>
        <w:ind w:left="709"/>
      </w:pPr>
      <w:r>
        <w:t xml:space="preserve">Аппликация дисков осуществляется не позднее, чем через 15 минут после инокуляции. Раскладывают диски с помощью пинцета, слегка прижимая их к поверхности </w:t>
      </w:r>
      <w:proofErr w:type="spellStart"/>
      <w:r>
        <w:t>агара</w:t>
      </w:r>
      <w:proofErr w:type="spellEnd"/>
      <w:r>
        <w:t>. При этом расстояние от края диска до края чашки</w:t>
      </w:r>
      <w:r w:rsidR="00942539">
        <w:t xml:space="preserve"> должно быть не менее 20 мм, а</w:t>
      </w:r>
      <w:r>
        <w:t xml:space="preserve"> меж</w:t>
      </w:r>
      <w:r w:rsidR="00942539">
        <w:t>д</w:t>
      </w:r>
      <w:r>
        <w:t>у двумя дискам</w:t>
      </w:r>
      <w:r w:rsidR="00942539">
        <w:t xml:space="preserve">и должно составлять около 30 мм. Таким образом, на одну чашку Петри диаметром 100 мм помещается не более 6 дисков. </w:t>
      </w:r>
    </w:p>
    <w:p w:rsidR="00421692" w:rsidRDefault="00421692" w:rsidP="00917C82">
      <w:pPr>
        <w:ind w:left="709"/>
        <w:rPr>
          <w:rFonts w:cs="Times New Roman"/>
        </w:rPr>
      </w:pPr>
      <w:r>
        <w:t>Сразу после аппликации чашки Петри помещают в термостат на 18-24 ч при температуре 35</w:t>
      </w:r>
      <w:r w:rsidR="00942539">
        <w:rPr>
          <w:rFonts w:cs="Times New Roman"/>
        </w:rPr>
        <w:t xml:space="preserve"> ̊</w:t>
      </w:r>
      <w:r>
        <w:rPr>
          <w:rFonts w:cs="Times New Roman"/>
        </w:rPr>
        <w:t>С.</w:t>
      </w:r>
    </w:p>
    <w:p w:rsidR="00421692" w:rsidRPr="00542144" w:rsidRDefault="00421692" w:rsidP="00542144">
      <w:pPr>
        <w:pStyle w:val="a3"/>
        <w:numPr>
          <w:ilvl w:val="1"/>
          <w:numId w:val="4"/>
        </w:numPr>
        <w:ind w:left="1134" w:hanging="567"/>
        <w:jc w:val="left"/>
        <w:rPr>
          <w:b/>
        </w:rPr>
      </w:pPr>
      <w:r w:rsidRPr="00542144">
        <w:rPr>
          <w:b/>
        </w:rPr>
        <w:t>Учет результатов и их интерпретация</w:t>
      </w:r>
    </w:p>
    <w:p w:rsidR="00421692" w:rsidRDefault="00421692" w:rsidP="00917C82">
      <w:pPr>
        <w:ind w:left="567"/>
      </w:pPr>
      <w:r>
        <w:t>Чашки</w:t>
      </w:r>
      <w:r w:rsidR="00BC5C95">
        <w:t xml:space="preserve"> Петри</w:t>
      </w:r>
      <w:r>
        <w:t xml:space="preserve"> после инкубации помещают на темную матовую поверхность кверху дном так, чтобы свет падал по</w:t>
      </w:r>
      <w:r w:rsidR="00942539">
        <w:t>д</w:t>
      </w:r>
      <w:r>
        <w:t xml:space="preserve"> углом 45 </w:t>
      </w:r>
      <w:r>
        <w:rPr>
          <w:rFonts w:cs="Times New Roman"/>
        </w:rPr>
        <w:t>̊</w:t>
      </w:r>
      <w:r>
        <w:t>. Диаметр зон задержки роста измеряют с точностью до 1 мм</w:t>
      </w:r>
      <w:r w:rsidR="00942539">
        <w:t>, включая диаметр самого диска</w:t>
      </w:r>
      <w:r>
        <w:t xml:space="preserve">, при этом </w:t>
      </w:r>
      <w:r w:rsidR="00B52437">
        <w:t>не обращают внимания на очень мелкие колонии, выросшие в зоне задержки роста. Исключение – определение чувствительности стафилококка с оксациллину.</w:t>
      </w:r>
    </w:p>
    <w:p w:rsidR="002657DA" w:rsidRDefault="00942539" w:rsidP="00917C82">
      <w:pPr>
        <w:ind w:left="567"/>
      </w:pPr>
      <w:r w:rsidRPr="00942539">
        <w:t xml:space="preserve">При </w:t>
      </w:r>
      <w:proofErr w:type="spellStart"/>
      <w:r w:rsidRPr="00942539">
        <w:t>нерезко</w:t>
      </w:r>
      <w:proofErr w:type="spellEnd"/>
      <w:r w:rsidRPr="00942539">
        <w:t xml:space="preserve"> очерченных краях зон или зонах с двойными контурами следует измерять диметры по наиболее четкому контуру, игнорируя мелкие колонии или едва заметный газон у края зоны. При наличии больших колоний по периферии зоны граница ее определяется местоположением внутреннего края этой группы колоний. </w:t>
      </w:r>
    </w:p>
    <w:p w:rsidR="00D85AAD" w:rsidRDefault="00942539" w:rsidP="00917C82">
      <w:pPr>
        <w:ind w:left="567"/>
      </w:pPr>
      <w:r w:rsidRPr="00942539">
        <w:t xml:space="preserve">Если крупные колонии распределены по всей зоне, культуру следует проверить на однородность, а испытания повторить. Наличие таких колоний при отсутствии загрязнения </w:t>
      </w:r>
      <w:proofErr w:type="spellStart"/>
      <w:r w:rsidRPr="00942539">
        <w:t>инокулята</w:t>
      </w:r>
      <w:proofErr w:type="spellEnd"/>
      <w:r w:rsidRPr="00942539">
        <w:t xml:space="preserve"> позволяет предположить наличие </w:t>
      </w:r>
      <w:proofErr w:type="spellStart"/>
      <w:r w:rsidRPr="00942539">
        <w:t>гетерорезисте</w:t>
      </w:r>
      <w:r w:rsidR="00BC5C95">
        <w:t>нтной</w:t>
      </w:r>
      <w:proofErr w:type="spellEnd"/>
      <w:r w:rsidR="00BC5C95">
        <w:t xml:space="preserve"> популяции. </w:t>
      </w:r>
    </w:p>
    <w:p w:rsidR="00542144" w:rsidRDefault="00542144" w:rsidP="00542144"/>
    <w:p w:rsidR="00501F8D" w:rsidRDefault="009778DA" w:rsidP="00917C82">
      <w:pPr>
        <w:ind w:left="567"/>
      </w:pPr>
      <w:r>
        <w:t xml:space="preserve">Инструкция разработана </w:t>
      </w:r>
      <w:r w:rsidR="00501F8D">
        <w:t>ГК ЗДОРОВЬЕ ЖИВОТНЫХ и ЗАО НИЦФ.</w:t>
      </w:r>
    </w:p>
    <w:p w:rsidR="00B52437" w:rsidRDefault="00501F8D" w:rsidP="00917C82">
      <w:pPr>
        <w:ind w:left="567"/>
      </w:pPr>
      <w:proofErr w:type="gramStart"/>
      <w:r>
        <w:t>При разработке инструкции использованы  к</w:t>
      </w:r>
      <w:r w:rsidR="009778DA">
        <w:t>линически</w:t>
      </w:r>
      <w:r>
        <w:t>е рекомендаци</w:t>
      </w:r>
      <w:r w:rsidR="009778DA">
        <w:t>и</w:t>
      </w:r>
      <w:r w:rsidR="008C70F4" w:rsidRPr="008C70F4">
        <w:t xml:space="preserve"> </w:t>
      </w:r>
      <w:r>
        <w:t xml:space="preserve">«Определение чувствительности микроорганизмов к антимикробным препаратам» (Версия-2015-02, утверждены на расширенном совещании Межрегиональной ассоциации по клинической микробиологии и антимикробной химиотерапии (Москва, 22.05.2015 г.);  </w:t>
      </w:r>
      <w:r w:rsidR="008C70F4" w:rsidRPr="008C70F4">
        <w:t>ТУ 9398-006-01967164-2009</w:t>
      </w:r>
      <w:r>
        <w:t xml:space="preserve">,  </w:t>
      </w:r>
      <w:r w:rsidR="00B52437">
        <w:t>МУК 4.2.1980-04</w:t>
      </w:r>
      <w:proofErr w:type="gramEnd"/>
    </w:p>
    <w:p w:rsidR="00917C82" w:rsidRDefault="00917C82" w:rsidP="00917C82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A6F558" wp14:editId="041EF382">
            <wp:simplePos x="0" y="0"/>
            <wp:positionH relativeFrom="column">
              <wp:posOffset>39370</wp:posOffset>
            </wp:positionH>
            <wp:positionV relativeFrom="paragraph">
              <wp:posOffset>149860</wp:posOffset>
            </wp:positionV>
            <wp:extent cx="762000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1060" y="21265"/>
                <wp:lineTo x="21060" y="0"/>
                <wp:lineTo x="0" y="0"/>
              </wp:wrapPolygon>
            </wp:wrapTight>
            <wp:docPr id="2" name="Рисунок 2" descr="ZdorovieZhivotnyh_gerb full without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Zhivotnyh_gerb full without shad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C82" w:rsidRDefault="00917C82" w:rsidP="00917C82">
      <w:pPr>
        <w:rPr>
          <w:lang w:val="en-US"/>
        </w:rPr>
      </w:pPr>
      <w:r>
        <w:t xml:space="preserve">Организатор производства индикаторных дисков для определения чувствительности к антимикробным препаратам для ветеринарного применения – </w:t>
      </w:r>
      <w:r w:rsidRPr="00542144">
        <w:rPr>
          <w:b/>
        </w:rPr>
        <w:t>ООО «ГК ЗДОРОВЬЕ ЖИВОТНЫХ»</w:t>
      </w:r>
      <w:r>
        <w:t xml:space="preserve"> (191119, Россия, </w:t>
      </w:r>
      <w:proofErr w:type="spellStart"/>
      <w:r>
        <w:t>ул</w:t>
      </w:r>
      <w:proofErr w:type="gramStart"/>
      <w:r>
        <w:t>.Ч</w:t>
      </w:r>
      <w:proofErr w:type="gramEnd"/>
      <w:r>
        <w:t>ерняховского</w:t>
      </w:r>
      <w:proofErr w:type="spellEnd"/>
      <w:r>
        <w:t xml:space="preserve">, д.10, </w:t>
      </w:r>
      <w:proofErr w:type="spellStart"/>
      <w:r>
        <w:t>лит.А</w:t>
      </w:r>
      <w:proofErr w:type="spellEnd"/>
      <w:r>
        <w:t xml:space="preserve">, оф.33, тел. </w:t>
      </w:r>
      <w:r w:rsidRPr="00542144">
        <w:rPr>
          <w:lang w:val="en-US"/>
        </w:rPr>
        <w:t xml:space="preserve">(812) 575-55-80, (812_ 575-55-86, </w:t>
      </w:r>
      <w:r>
        <w:rPr>
          <w:lang w:val="en-US"/>
        </w:rPr>
        <w:t xml:space="preserve">e-mail: </w:t>
      </w:r>
      <w:hyperlink r:id="rId8" w:history="1">
        <w:r w:rsidRPr="005E2243">
          <w:rPr>
            <w:rStyle w:val="a9"/>
            <w:lang w:val="en-US"/>
          </w:rPr>
          <w:t>animal.health.77@gmail.com</w:t>
        </w:r>
      </w:hyperlink>
      <w:r>
        <w:rPr>
          <w:lang w:val="en-US"/>
        </w:rPr>
        <w:t xml:space="preserve">, </w:t>
      </w:r>
      <w:hyperlink r:id="rId9" w:history="1">
        <w:r w:rsidRPr="005E2243">
          <w:rPr>
            <w:rStyle w:val="a9"/>
            <w:lang w:val="en-US"/>
          </w:rPr>
          <w:t>www.animal-health.ru</w:t>
        </w:r>
      </w:hyperlink>
      <w:r>
        <w:rPr>
          <w:lang w:val="en-US"/>
        </w:rPr>
        <w:t xml:space="preserve"> ).</w:t>
      </w:r>
    </w:p>
    <w:p w:rsidR="00501F8D" w:rsidRDefault="00C02F1E" w:rsidP="00917C82">
      <w:pPr>
        <w:ind w:left="56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F4FD39" wp14:editId="73A3345E">
            <wp:simplePos x="0" y="0"/>
            <wp:positionH relativeFrom="column">
              <wp:posOffset>11430</wp:posOffset>
            </wp:positionH>
            <wp:positionV relativeFrom="paragraph">
              <wp:posOffset>200025</wp:posOffset>
            </wp:positionV>
            <wp:extent cx="1026795" cy="502920"/>
            <wp:effectExtent l="0" t="0" r="1905" b="0"/>
            <wp:wrapTight wrapText="bothSides">
              <wp:wrapPolygon edited="0">
                <wp:start x="0" y="0"/>
                <wp:lineTo x="0" y="20455"/>
                <wp:lineTo x="21239" y="20455"/>
                <wp:lineTo x="21239" y="0"/>
                <wp:lineTo x="0" y="0"/>
              </wp:wrapPolygon>
            </wp:wrapTight>
            <wp:docPr id="1" name="Рисунок 1" descr="Логотип НИЦ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НИЦ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E72" w:rsidRDefault="00501F8D" w:rsidP="00421692">
      <w:r>
        <w:t xml:space="preserve"> </w:t>
      </w:r>
      <w:r w:rsidR="00B44E72">
        <w:t xml:space="preserve">Компания – производитель: </w:t>
      </w:r>
      <w:r w:rsidR="00B44E72" w:rsidRPr="00501F8D">
        <w:rPr>
          <w:b/>
        </w:rPr>
        <w:t>ЗАО НИЦФ</w:t>
      </w:r>
      <w:r>
        <w:t xml:space="preserve"> (</w:t>
      </w:r>
      <w:r w:rsidRPr="00501F8D">
        <w:t xml:space="preserve">192236, Россия, Санкт-Петербург, ул. Белы </w:t>
      </w:r>
      <w:proofErr w:type="spellStart"/>
      <w:r w:rsidRPr="00501F8D">
        <w:t>Куна</w:t>
      </w:r>
      <w:proofErr w:type="gramStart"/>
      <w:r w:rsidRPr="00501F8D">
        <w:t>,д</w:t>
      </w:r>
      <w:proofErr w:type="spellEnd"/>
      <w:proofErr w:type="gramEnd"/>
      <w:r w:rsidRPr="00501F8D">
        <w:t xml:space="preserve">. 30, лит. </w:t>
      </w:r>
      <w:proofErr w:type="gramStart"/>
      <w:r w:rsidRPr="00501F8D">
        <w:t>А, офис 400</w:t>
      </w:r>
      <w:r>
        <w:t xml:space="preserve">, </w:t>
      </w:r>
      <w:r w:rsidR="00542144" w:rsidRPr="00542144">
        <w:rPr>
          <w:rStyle w:val="a9"/>
          <w:lang w:val="en-US"/>
        </w:rPr>
        <w:t>www</w:t>
      </w:r>
      <w:r w:rsidR="00542144" w:rsidRPr="00917C82">
        <w:rPr>
          <w:rStyle w:val="a9"/>
        </w:rPr>
        <w:t>.</w:t>
      </w:r>
      <w:proofErr w:type="spellStart"/>
      <w:r w:rsidR="00542144" w:rsidRPr="00542144">
        <w:rPr>
          <w:rStyle w:val="a9"/>
          <w:lang w:val="en-US"/>
        </w:rPr>
        <w:t>nicf</w:t>
      </w:r>
      <w:proofErr w:type="spellEnd"/>
      <w:r w:rsidR="00542144" w:rsidRPr="00917C82">
        <w:rPr>
          <w:rStyle w:val="a9"/>
        </w:rPr>
        <w:t>.</w:t>
      </w:r>
      <w:proofErr w:type="spellStart"/>
      <w:r w:rsidR="00542144" w:rsidRPr="00542144">
        <w:rPr>
          <w:rStyle w:val="a9"/>
          <w:lang w:val="en-US"/>
        </w:rPr>
        <w:t>spb</w:t>
      </w:r>
      <w:proofErr w:type="spellEnd"/>
      <w:r w:rsidR="00542144" w:rsidRPr="00917C82">
        <w:rPr>
          <w:rStyle w:val="a9"/>
        </w:rPr>
        <w:t>.</w:t>
      </w:r>
      <w:proofErr w:type="spellStart"/>
      <w:r w:rsidR="00542144" w:rsidRPr="00542144">
        <w:rPr>
          <w:rStyle w:val="a9"/>
          <w:lang w:val="en-US"/>
        </w:rPr>
        <w:t>ru</w:t>
      </w:r>
      <w:proofErr w:type="spellEnd"/>
      <w:r w:rsidRPr="00917C82">
        <w:rPr>
          <w:rStyle w:val="a9"/>
        </w:rPr>
        <w:t>)</w:t>
      </w:r>
      <w:r w:rsidR="00B44E72">
        <w:t xml:space="preserve"> </w:t>
      </w:r>
      <w:proofErr w:type="gramEnd"/>
    </w:p>
    <w:p w:rsidR="00501F8D" w:rsidRPr="00917C82" w:rsidRDefault="00501F8D" w:rsidP="00917C82">
      <w:pPr>
        <w:ind w:left="142"/>
      </w:pPr>
    </w:p>
    <w:p w:rsidR="00542144" w:rsidRPr="00917C82" w:rsidRDefault="00542144" w:rsidP="00421692"/>
    <w:sectPr w:rsidR="00542144" w:rsidRPr="00917C82" w:rsidSect="009C14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26"/>
        </w:tabs>
      </w:pPr>
    </w:lvl>
  </w:abstractNum>
  <w:abstractNum w:abstractNumId="1">
    <w:nsid w:val="2BFF1793"/>
    <w:multiLevelType w:val="multilevel"/>
    <w:tmpl w:val="09903F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EF3C1E"/>
    <w:multiLevelType w:val="hybridMultilevel"/>
    <w:tmpl w:val="6250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402D"/>
    <w:multiLevelType w:val="multilevel"/>
    <w:tmpl w:val="9310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E86007"/>
    <w:multiLevelType w:val="hybridMultilevel"/>
    <w:tmpl w:val="8AEC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51DCC"/>
    <w:multiLevelType w:val="hybridMultilevel"/>
    <w:tmpl w:val="B300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BC"/>
    <w:rsid w:val="0004446E"/>
    <w:rsid w:val="00057D42"/>
    <w:rsid w:val="002657DA"/>
    <w:rsid w:val="00283777"/>
    <w:rsid w:val="002924C7"/>
    <w:rsid w:val="002B3F5D"/>
    <w:rsid w:val="002D11AC"/>
    <w:rsid w:val="00343AE9"/>
    <w:rsid w:val="004148C6"/>
    <w:rsid w:val="00421692"/>
    <w:rsid w:val="00501F8D"/>
    <w:rsid w:val="00512986"/>
    <w:rsid w:val="00533382"/>
    <w:rsid w:val="00542144"/>
    <w:rsid w:val="00556E8E"/>
    <w:rsid w:val="005631CD"/>
    <w:rsid w:val="00580748"/>
    <w:rsid w:val="005E4D27"/>
    <w:rsid w:val="005E5D72"/>
    <w:rsid w:val="005F10B0"/>
    <w:rsid w:val="006530BC"/>
    <w:rsid w:val="00755877"/>
    <w:rsid w:val="007C5713"/>
    <w:rsid w:val="007C7F30"/>
    <w:rsid w:val="00824D0E"/>
    <w:rsid w:val="008C70F4"/>
    <w:rsid w:val="00917C82"/>
    <w:rsid w:val="00927BAC"/>
    <w:rsid w:val="00942539"/>
    <w:rsid w:val="009778DA"/>
    <w:rsid w:val="009C1447"/>
    <w:rsid w:val="00A14BAA"/>
    <w:rsid w:val="00A21392"/>
    <w:rsid w:val="00B00D0A"/>
    <w:rsid w:val="00B44CD8"/>
    <w:rsid w:val="00B44E72"/>
    <w:rsid w:val="00B52437"/>
    <w:rsid w:val="00B80484"/>
    <w:rsid w:val="00BC5C95"/>
    <w:rsid w:val="00C02F1E"/>
    <w:rsid w:val="00C05E23"/>
    <w:rsid w:val="00C94F95"/>
    <w:rsid w:val="00D85AAD"/>
    <w:rsid w:val="00E263A5"/>
    <w:rsid w:val="00EF5BB5"/>
    <w:rsid w:val="00F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7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BC"/>
    <w:pPr>
      <w:ind w:left="720"/>
      <w:contextualSpacing/>
    </w:pPr>
  </w:style>
  <w:style w:type="table" w:styleId="a4">
    <w:name w:val="Table Grid"/>
    <w:basedOn w:val="a1"/>
    <w:uiPriority w:val="59"/>
    <w:rsid w:val="0028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5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01F8D"/>
    <w:pPr>
      <w:tabs>
        <w:tab w:val="center" w:pos="4677"/>
        <w:tab w:val="right" w:pos="9355"/>
      </w:tabs>
      <w:spacing w:line="240" w:lineRule="auto"/>
      <w:jc w:val="left"/>
    </w:pPr>
    <w:rPr>
      <w:rFonts w:eastAsia="Batang" w:cs="Times New Roman"/>
      <w:szCs w:val="24"/>
      <w:lang w:val="x-none" w:eastAsia="ko-KR"/>
    </w:rPr>
  </w:style>
  <w:style w:type="character" w:customStyle="1" w:styleId="a8">
    <w:name w:val="Верхний колонтитул Знак"/>
    <w:basedOn w:val="a0"/>
    <w:link w:val="a7"/>
    <w:rsid w:val="00501F8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9">
    <w:name w:val="Hyperlink"/>
    <w:basedOn w:val="a0"/>
    <w:uiPriority w:val="99"/>
    <w:unhideWhenUsed/>
    <w:rsid w:val="00542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7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BC"/>
    <w:pPr>
      <w:ind w:left="720"/>
      <w:contextualSpacing/>
    </w:pPr>
  </w:style>
  <w:style w:type="table" w:styleId="a4">
    <w:name w:val="Table Grid"/>
    <w:basedOn w:val="a1"/>
    <w:uiPriority w:val="59"/>
    <w:rsid w:val="0028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5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01F8D"/>
    <w:pPr>
      <w:tabs>
        <w:tab w:val="center" w:pos="4677"/>
        <w:tab w:val="right" w:pos="9355"/>
      </w:tabs>
      <w:spacing w:line="240" w:lineRule="auto"/>
      <w:jc w:val="left"/>
    </w:pPr>
    <w:rPr>
      <w:rFonts w:eastAsia="Batang" w:cs="Times New Roman"/>
      <w:szCs w:val="24"/>
      <w:lang w:val="x-none" w:eastAsia="ko-KR"/>
    </w:rPr>
  </w:style>
  <w:style w:type="character" w:customStyle="1" w:styleId="a8">
    <w:name w:val="Верхний колонтитул Знак"/>
    <w:basedOn w:val="a0"/>
    <w:link w:val="a7"/>
    <w:rsid w:val="00501F8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9">
    <w:name w:val="Hyperlink"/>
    <w:basedOn w:val="a0"/>
    <w:uiPriority w:val="99"/>
    <w:unhideWhenUsed/>
    <w:rsid w:val="00542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.health.77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nimal-heal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2017-06-29T11:52:00Z</cp:lastPrinted>
  <dcterms:created xsi:type="dcterms:W3CDTF">2019-10-13T06:43:00Z</dcterms:created>
  <dcterms:modified xsi:type="dcterms:W3CDTF">2019-10-13T06:43:00Z</dcterms:modified>
</cp:coreProperties>
</file>